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FDF1" w14:textId="77777777" w:rsidR="00DF739A" w:rsidRDefault="00DF739A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</w:p>
    <w:p w14:paraId="2E6EE6C8" w14:textId="6425F8F1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</w:t>
      </w:r>
    </w:p>
    <w:p w14:paraId="6F986417" w14:textId="77777777" w:rsidR="00124AF7" w:rsidRPr="00124AF7" w:rsidRDefault="00124AF7" w:rsidP="00124AF7"/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63F2FFDF" w:rsidR="00FF7332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INTERREG ESPACIO ATLÁNTICO 2021-2027</w:t>
            </w:r>
          </w:p>
        </w:tc>
      </w:tr>
      <w:tr w:rsidR="009273FE" w:rsidRPr="00992ACD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41743AF2" w14:textId="7B3F538E" w:rsidR="009273FE" w:rsidRPr="000E42B5" w:rsidRDefault="0061283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1283E">
              <w:rPr>
                <w:rFonts w:ascii="Arial" w:eastAsia="Arial" w:hAnsi="Arial" w:cs="Arial"/>
                <w:b/>
                <w:bCs/>
                <w:spacing w:val="-1"/>
              </w:rPr>
              <w:t>(EN</w:t>
            </w:r>
            <w:r w:rsidRPr="00F13892">
              <w:rPr>
                <w:rFonts w:ascii="Arial" w:eastAsia="Arial" w:hAnsi="Arial" w:cs="Arial"/>
                <w:spacing w:val="-1"/>
              </w:rPr>
              <w:t>): “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Aquaculture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&amp;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Fisheries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0.0 –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Improving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the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acceptance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and social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awareness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in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the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consumption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of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sustainable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marine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food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products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developed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under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the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zero-waste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F13892">
              <w:rPr>
                <w:rFonts w:ascii="Arial" w:eastAsia="Arial" w:hAnsi="Arial" w:cs="Arial"/>
                <w:spacing w:val="-1"/>
              </w:rPr>
              <w:t>philosophy</w:t>
            </w:r>
            <w:proofErr w:type="spellEnd"/>
            <w:r w:rsidRPr="00F13892">
              <w:rPr>
                <w:rFonts w:ascii="Arial" w:eastAsia="Arial" w:hAnsi="Arial" w:cs="Arial"/>
                <w:spacing w:val="-1"/>
              </w:rPr>
              <w:t xml:space="preserve">”; </w:t>
            </w:r>
            <w:r w:rsidRPr="0061283E">
              <w:rPr>
                <w:rFonts w:ascii="Arial" w:eastAsia="Arial" w:hAnsi="Arial" w:cs="Arial"/>
                <w:b/>
                <w:bCs/>
                <w:spacing w:val="-1"/>
              </w:rPr>
              <w:t xml:space="preserve">(ES): </w:t>
            </w:r>
            <w:r w:rsidRPr="00F13892">
              <w:rPr>
                <w:rFonts w:ascii="Arial" w:eastAsia="Arial" w:hAnsi="Arial" w:cs="Arial"/>
                <w:spacing w:val="-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Acuicultura y Pesca</w:t>
            </w:r>
            <w:r w:rsidRPr="00F13892">
              <w:rPr>
                <w:rFonts w:ascii="Arial" w:eastAsia="Arial" w:hAnsi="Arial" w:cs="Arial"/>
                <w:spacing w:val="-1"/>
              </w:rPr>
              <w:t xml:space="preserve"> 0.0 - Mejorar la aceptación y conciencia social en el consumo de productos alimenticios marinos sostenibles desarrollados bajo la filosofía de residuo cero”.</w:t>
            </w: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503FB851" w:rsidR="009273FE" w:rsidRPr="00F13892" w:rsidRDefault="0061283E" w:rsidP="003E2DF7">
            <w:pPr>
              <w:tabs>
                <w:tab w:val="left" w:pos="2025"/>
              </w:tabs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AQUAFISH0.0</w:t>
            </w: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667DFC7F" w:rsidR="009273FE" w:rsidRPr="000E42B5" w:rsidRDefault="00F1389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EAPA 0062_2022</w:t>
            </w: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476CDCD2" w:rsidR="001F155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01/1</w:t>
            </w:r>
            <w:r w:rsidR="0061283E">
              <w:rPr>
                <w:rFonts w:ascii="Verdana" w:hAnsi="Verdana" w:cs="Tahoma"/>
              </w:rPr>
              <w:t>1</w:t>
            </w:r>
            <w:r>
              <w:rPr>
                <w:rFonts w:ascii="Verdana" w:hAnsi="Verdana" w:cs="Tahoma"/>
              </w:rPr>
              <w:t>/2023 – 3</w:t>
            </w:r>
            <w:r w:rsidR="0061283E">
              <w:rPr>
                <w:rFonts w:ascii="Verdana" w:hAnsi="Verdana" w:cs="Tahoma"/>
              </w:rPr>
              <w:t>1/10</w:t>
            </w:r>
            <w:r w:rsidR="00EF71B0">
              <w:rPr>
                <w:rFonts w:ascii="Verdana" w:hAnsi="Verdana" w:cs="Tahoma"/>
              </w:rPr>
              <w:t>/</w:t>
            </w:r>
            <w:r>
              <w:rPr>
                <w:rFonts w:ascii="Verdana" w:hAnsi="Verdana" w:cs="Tahoma"/>
              </w:rPr>
              <w:t>2026</w:t>
            </w:r>
          </w:p>
        </w:tc>
      </w:tr>
    </w:tbl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9273FE" w:rsidRPr="000E42B5" w14:paraId="287B6F44" w14:textId="77777777" w:rsidTr="00464701">
        <w:tc>
          <w:tcPr>
            <w:tcW w:w="4647" w:type="dxa"/>
            <w:shd w:val="clear" w:color="auto" w:fill="auto"/>
          </w:tcPr>
          <w:p w14:paraId="36128209" w14:textId="57BDF07B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7F1374F9" w14:textId="265B7E51" w:rsidR="009273FE" w:rsidRPr="000E42B5" w:rsidRDefault="00DB560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FUNDACION CENTRO TECNOLOGICO ACUICULTURA DE ANDALUCIA</w:t>
            </w:r>
          </w:p>
        </w:tc>
      </w:tr>
      <w:tr w:rsidR="009273FE" w:rsidRPr="000E42B5" w14:paraId="27D56632" w14:textId="77777777" w:rsidTr="00464701">
        <w:tc>
          <w:tcPr>
            <w:tcW w:w="4647" w:type="dxa"/>
            <w:shd w:val="clear" w:color="auto" w:fill="auto"/>
          </w:tcPr>
          <w:p w14:paraId="22685274" w14:textId="42AC9502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17300250" w14:textId="226BB020" w:rsidR="009273FE" w:rsidRPr="00B86ABC" w:rsidRDefault="00DB560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B86ABC">
              <w:rPr>
                <w:rFonts w:ascii="Verdana" w:hAnsi="Verdana" w:cs="Tahoma"/>
              </w:rPr>
              <w:t>MARIA DEL MAR BARRIOS GALAN</w:t>
            </w:r>
          </w:p>
        </w:tc>
      </w:tr>
      <w:tr w:rsidR="009273FE" w:rsidRPr="000E42B5" w14:paraId="6107F489" w14:textId="77777777" w:rsidTr="00464701">
        <w:tc>
          <w:tcPr>
            <w:tcW w:w="4647" w:type="dxa"/>
            <w:shd w:val="clear" w:color="auto" w:fill="auto"/>
          </w:tcPr>
          <w:p w14:paraId="40BE494E" w14:textId="789DF9D5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5F0F1791" w14:textId="6694F7D6" w:rsidR="009273F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DIRECCIÓN</w:t>
            </w:r>
          </w:p>
        </w:tc>
      </w:tr>
      <w:tr w:rsidR="009273FE" w:rsidRPr="006E0862" w14:paraId="653906C3" w14:textId="77777777" w:rsidTr="00464701">
        <w:tc>
          <w:tcPr>
            <w:tcW w:w="4647" w:type="dxa"/>
            <w:shd w:val="clear" w:color="auto" w:fill="auto"/>
          </w:tcPr>
          <w:p w14:paraId="093D03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04CDC631" w14:textId="4F27BFFE" w:rsidR="006E0862" w:rsidRPr="006E0862" w:rsidRDefault="00DB560E" w:rsidP="00DB560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CALLE MUELLE COMERCIAL S/N EDIFICIO CTAUQUA. 11500 EL PUERTO DE SANTA MARIA, (CADIZ)</w:t>
            </w:r>
            <w:r w:rsidR="006E0862">
              <w:rPr>
                <w:rFonts w:ascii="Verdana" w:hAnsi="Verdana" w:cs="Tahoma"/>
              </w:rPr>
              <w:t xml:space="preserve"> </w:t>
            </w:r>
          </w:p>
        </w:tc>
      </w:tr>
      <w:tr w:rsidR="009273FE" w:rsidRPr="000E42B5" w14:paraId="6E36F67B" w14:textId="77777777" w:rsidTr="00464701">
        <w:tc>
          <w:tcPr>
            <w:tcW w:w="4647" w:type="dxa"/>
            <w:shd w:val="clear" w:color="auto" w:fill="auto"/>
          </w:tcPr>
          <w:p w14:paraId="57C5532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481524F0" w14:textId="6FFBCEA6" w:rsidR="009273F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+34 </w:t>
            </w:r>
            <w:r w:rsidR="00DB560E">
              <w:rPr>
                <w:rFonts w:ascii="Verdana" w:hAnsi="Verdana" w:cs="Tahoma"/>
              </w:rPr>
              <w:t>956569363</w:t>
            </w:r>
          </w:p>
        </w:tc>
      </w:tr>
      <w:tr w:rsidR="009273FE" w:rsidRPr="000E42B5" w14:paraId="796A0BD9" w14:textId="77777777" w:rsidTr="00464701">
        <w:tc>
          <w:tcPr>
            <w:tcW w:w="4647" w:type="dxa"/>
            <w:shd w:val="clear" w:color="auto" w:fill="auto"/>
          </w:tcPr>
          <w:p w14:paraId="4D9AD1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4753EAF8" w14:textId="61AC9FDE" w:rsidR="009273FE" w:rsidRPr="00B86ABC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B86ABC">
              <w:rPr>
                <w:rFonts w:ascii="Verdana" w:hAnsi="Verdana" w:cs="Tahoma"/>
              </w:rPr>
              <w:t>n/a</w:t>
            </w:r>
          </w:p>
        </w:tc>
      </w:tr>
      <w:tr w:rsidR="009273FE" w:rsidRPr="000E42B5" w14:paraId="266EB13C" w14:textId="77777777" w:rsidTr="00464701">
        <w:tc>
          <w:tcPr>
            <w:tcW w:w="4647" w:type="dxa"/>
            <w:shd w:val="clear" w:color="auto" w:fill="auto"/>
          </w:tcPr>
          <w:p w14:paraId="7455894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108055F7" w14:textId="4C914942" w:rsidR="009273FE" w:rsidRPr="00B86ABC" w:rsidRDefault="00DB560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F13892">
              <w:rPr>
                <w:rFonts w:ascii="Verdana" w:hAnsi="Verdana" w:cs="Tahoma"/>
              </w:rPr>
              <w:t>gerente@ctaqua.es</w:t>
            </w:r>
          </w:p>
        </w:tc>
      </w:tr>
      <w:tr w:rsidR="009273FE" w:rsidRPr="000E42B5" w14:paraId="3A7F406F" w14:textId="77777777" w:rsidTr="00464701">
        <w:tc>
          <w:tcPr>
            <w:tcW w:w="4647" w:type="dxa"/>
            <w:shd w:val="clear" w:color="auto" w:fill="auto"/>
          </w:tcPr>
          <w:p w14:paraId="7F920FBA" w14:textId="03DD497B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217256F9" w14:textId="3849E9CC" w:rsidR="006A7F20" w:rsidRPr="00B86ABC" w:rsidRDefault="00F13892" w:rsidP="006E0862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Beneficiario principal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468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4214A58E" w:rsidR="009273FE" w:rsidRPr="00F13892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Completar</w:t>
            </w:r>
            <w:r w:rsidRPr="00B71DDF">
              <w:rPr>
                <w:rFonts w:ascii="Arial" w:hAnsi="Arial" w:cs="Arial"/>
                <w:i/>
                <w:highlight w:val="yellow"/>
              </w:rPr>
              <w:t xml:space="preserve"> por auditor</w:t>
            </w:r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1E769C1B" w:rsidR="009273FE" w:rsidRPr="000E42B5" w:rsidRDefault="00F13892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83.927,11</w:t>
            </w:r>
            <w:r w:rsidR="001F7783" w:rsidRPr="00F13892">
              <w:rPr>
                <w:rFonts w:ascii="Verdana" w:hAnsi="Verdana" w:cs="Tahoma"/>
              </w:rPr>
              <w:t xml:space="preserve"> €</w:t>
            </w: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TOTAL</w:t>
            </w:r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55959406" w:rsidR="009273FE" w:rsidRPr="000E42B5" w:rsidRDefault="001F7783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335,708,44 €</w:t>
            </w:r>
            <w:r w:rsidR="006E0862">
              <w:rPr>
                <w:rFonts w:ascii="Verdana" w:hAnsi="Verdana" w:cs="Tahoma"/>
              </w:rPr>
              <w:t xml:space="preserve"> </w:t>
            </w: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1FCC12F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>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3013ACA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</w:t>
            </w:r>
            <w:r w:rsidR="002758DD" w:rsidRPr="006A7F20">
              <w:rPr>
                <w:rFonts w:ascii="Arial" w:hAnsi="Arial" w:cs="Arial"/>
              </w:rPr>
              <w:t>profesionales del</w:t>
            </w:r>
            <w:r w:rsidRPr="006A7F20">
              <w:rPr>
                <w:rFonts w:ascii="Arial" w:hAnsi="Arial" w:cs="Arial"/>
              </w:rPr>
              <w:t xml:space="preserve">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2D718CB6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¿Posee el auditor/controlador </w:t>
            </w:r>
            <w:bookmarkStart w:id="0" w:name="_Hlk158139975"/>
            <w:r w:rsidRPr="006A7F20">
              <w:rPr>
                <w:rFonts w:ascii="Arial" w:hAnsi="Arial" w:cs="Arial"/>
              </w:rPr>
              <w:t>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En el caso de respuesta negativa, se asegurará a su propio cargo, de la traducción de todos los documentos pertinentes (incluyendo comunicaciones con el Secretariado, otros auditores, </w:t>
            </w:r>
            <w:proofErr w:type="spellStart"/>
            <w:r w:rsidRPr="006A7F20">
              <w:rPr>
                <w:rFonts w:ascii="Arial" w:hAnsi="Arial" w:cs="Arial"/>
              </w:rPr>
              <w:t>etc</w:t>
            </w:r>
            <w:proofErr w:type="spellEnd"/>
            <w:r w:rsidRPr="006A7F20">
              <w:rPr>
                <w:rFonts w:ascii="Arial" w:hAnsi="Arial" w:cs="Arial"/>
              </w:rPr>
              <w:t>)?</w:t>
            </w:r>
          </w:p>
          <w:bookmarkEnd w:id="0"/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67BBF8DA" w14:textId="77777777" w:rsidR="00932EE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  <w:highlight w:val="yellow"/>
              </w:rPr>
            </w:pPr>
          </w:p>
          <w:p w14:paraId="509D44BF" w14:textId="67EF7081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7471346E" w14:textId="77777777" w:rsidR="006E0862" w:rsidRDefault="006E0862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3D381C73" w:rsidR="00973479" w:rsidRPr="00866CBA" w:rsidRDefault="006E086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N/A</w:t>
            </w: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77F73AF" w14:textId="34F84473" w:rsidR="00A123BB" w:rsidRPr="004675EA" w:rsidRDefault="00A123BB" w:rsidP="00A123B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 w:rsidRPr="00A123BB">
              <w:rPr>
                <w:rFonts w:ascii="Arial" w:hAnsi="Arial" w:cs="Arial"/>
                <w:lang w:eastAsia="en-US"/>
              </w:rPr>
              <w:t>Es</w:t>
            </w:r>
            <w:r>
              <w:rPr>
                <w:rFonts w:ascii="Arial" w:hAnsi="Arial" w:cs="Arial"/>
                <w:lang w:eastAsia="en-US"/>
              </w:rPr>
              <w:t xml:space="preserve"> esencial que</w:t>
            </w:r>
            <w:r w:rsidRPr="00A123BB">
              <w:rPr>
                <w:rFonts w:ascii="Arial" w:hAnsi="Arial" w:cs="Arial"/>
                <w:lang w:eastAsia="en-US"/>
              </w:rPr>
              <w:t xml:space="preserve"> la contratación del auditor para toda la duración del proyecto, así como contemplar los plazos de presentación de los informes de certificación de gastos </w:t>
            </w:r>
            <w:r w:rsidRPr="004675EA">
              <w:rPr>
                <w:rFonts w:ascii="Arial" w:hAnsi="Arial" w:cs="Arial"/>
                <w:lang w:eastAsia="en-US"/>
              </w:rPr>
              <w:t>hasta el cierre financiero del proyecto)</w:t>
            </w:r>
          </w:p>
          <w:p w14:paraId="4F85DC5C" w14:textId="77777777" w:rsidR="00A123BB" w:rsidRPr="00A123BB" w:rsidRDefault="00A123BB" w:rsidP="00A123B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1A489C1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9FDC085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2489FF5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8C48D21" w14:textId="78766D36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¿Está el auditor </w:t>
            </w:r>
            <w:r w:rsidR="0080242D" w:rsidRPr="0080242D">
              <w:rPr>
                <w:rFonts w:ascii="Arial" w:hAnsi="Arial" w:cs="Arial"/>
              </w:rPr>
              <w:t xml:space="preserve">inscrito en el Registro Oficial de Auditores de Cuentas (ROAC), bien individualmente o como socio ejerciente de una Entidad Auditora a la que </w:t>
            </w:r>
            <w:proofErr w:type="gramStart"/>
            <w:r w:rsidR="0080242D" w:rsidRPr="0080242D">
              <w:rPr>
                <w:rFonts w:ascii="Arial" w:hAnsi="Arial" w:cs="Arial"/>
              </w:rPr>
              <w:t>pertenezca</w:t>
            </w:r>
            <w:r w:rsidR="0080242D">
              <w:rPr>
                <w:rFonts w:ascii="Arial" w:hAnsi="Arial" w:cs="Arial"/>
              </w:rPr>
              <w:t>?</w:t>
            </w:r>
            <w:r w:rsidR="0080242D" w:rsidRPr="0080242D">
              <w:rPr>
                <w:rFonts w:ascii="Arial" w:hAnsi="Arial" w:cs="Arial"/>
              </w:rPr>
              <w:t>.</w:t>
            </w:r>
            <w:proofErr w:type="gramEnd"/>
            <w:r w:rsidR="0080242D" w:rsidRPr="008024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BD129E5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022AAC" w14:textId="33584764" w:rsidR="006E0862" w:rsidRPr="00866CBA" w:rsidRDefault="006E086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A2FEB59" w14:textId="77777777" w:rsidR="00932EEA" w:rsidRPr="00932EE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proofErr w:type="gramStart"/>
            <w:r w:rsidRPr="00932EEA">
              <w:rPr>
                <w:rFonts w:ascii="Arial" w:hAnsi="Arial" w:cs="Arial"/>
                <w:i/>
              </w:rPr>
              <w:t>El  periodo</w:t>
            </w:r>
            <w:proofErr w:type="gramEnd"/>
            <w:r w:rsidRPr="00932EEA">
              <w:rPr>
                <w:rFonts w:ascii="Arial" w:hAnsi="Arial" w:cs="Arial"/>
                <w:i/>
              </w:rPr>
              <w:t xml:space="preserve">  de  contratación  será  desde  la  fecha  de  formalización  del  contrato  de</w:t>
            </w:r>
          </w:p>
          <w:p w14:paraId="0A8ECE56" w14:textId="11BA9A58" w:rsidR="009273FE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932EEA">
              <w:rPr>
                <w:rFonts w:ascii="Arial" w:hAnsi="Arial" w:cs="Arial"/>
                <w:i/>
              </w:rPr>
              <w:t xml:space="preserve">adjudicación hasta el cierre </w:t>
            </w:r>
            <w:proofErr w:type="gramStart"/>
            <w:r w:rsidRPr="00932EEA">
              <w:rPr>
                <w:rFonts w:ascii="Arial" w:hAnsi="Arial" w:cs="Arial"/>
                <w:i/>
              </w:rPr>
              <w:t>financiero  del</w:t>
            </w:r>
            <w:proofErr w:type="gramEnd"/>
            <w:r w:rsidRPr="00932EEA">
              <w:rPr>
                <w:rFonts w:ascii="Arial" w:hAnsi="Arial" w:cs="Arial"/>
                <w:i/>
              </w:rPr>
              <w:t xml:space="preserve"> proyecto, siendo el plazo final de ejecución del proyecto previsto el </w:t>
            </w:r>
            <w:r w:rsidR="0061283E">
              <w:rPr>
                <w:rFonts w:ascii="Arial" w:hAnsi="Arial" w:cs="Arial"/>
                <w:i/>
              </w:rPr>
              <w:t>31 de octubre de</w:t>
            </w:r>
            <w:r w:rsidR="00EF71B0">
              <w:rPr>
                <w:rFonts w:ascii="Arial" w:hAnsi="Arial" w:cs="Arial"/>
                <w:i/>
              </w:rPr>
              <w:t xml:space="preserve"> </w:t>
            </w:r>
            <w:r w:rsidRPr="00932EEA">
              <w:rPr>
                <w:rFonts w:ascii="Arial" w:hAnsi="Arial" w:cs="Arial"/>
                <w:i/>
              </w:rPr>
              <w:t>202</w:t>
            </w:r>
            <w:r w:rsidR="00EF71B0">
              <w:rPr>
                <w:rFonts w:ascii="Arial" w:hAnsi="Arial" w:cs="Arial"/>
                <w:i/>
              </w:rPr>
              <w:t>6</w:t>
            </w:r>
            <w:r w:rsidRPr="00932EEA">
              <w:rPr>
                <w:rFonts w:ascii="Arial" w:hAnsi="Arial" w:cs="Arial"/>
                <w:i/>
              </w:rPr>
              <w:t>, sin  perjuicio  de  que  con  posterioridad  a  la  contratación  sea  solicitada  y/o concedida una prórroga para el desarrollo del mismo, en cuyo caso el plazo final de ejecución podría verse ampliado.</w:t>
            </w: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2EF1AFB9" w:rsidR="009273FE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F13892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4EE729BF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02FD0995" w14:textId="77777777" w:rsidR="00973479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EADB98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7F99F67F" w14:textId="77777777" w:rsidR="00932EEA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DE5EFF" w:rsidRPr="00866CBA" w14:paraId="6235896F" w14:textId="77777777" w:rsidTr="005C6BC4">
        <w:tc>
          <w:tcPr>
            <w:tcW w:w="4575" w:type="dxa"/>
            <w:shd w:val="clear" w:color="auto" w:fill="auto"/>
          </w:tcPr>
          <w:p w14:paraId="0484CE65" w14:textId="590401E5" w:rsidR="00DE5EFF" w:rsidRDefault="00DE5EF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el auditor /controlador confirmar q</w:t>
            </w:r>
            <w:r w:rsidRPr="00673C0D">
              <w:rPr>
                <w:rFonts w:ascii="Arial" w:hAnsi="Arial" w:cs="Arial"/>
              </w:rPr>
              <w:t>ue no se encuentra/n incurso/s en ninguna situación que pueda calificarse de conflicto de intereses</w:t>
            </w:r>
            <w:r>
              <w:rPr>
                <w:rFonts w:ascii="Arial" w:hAnsi="Arial" w:cs="Arial"/>
              </w:rPr>
              <w:t xml:space="preserve"> con la entidad beneficiaria.</w:t>
            </w:r>
          </w:p>
        </w:tc>
        <w:tc>
          <w:tcPr>
            <w:tcW w:w="4145" w:type="dxa"/>
          </w:tcPr>
          <w:p w14:paraId="6445326A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75EEB8D4" w14:textId="77777777" w:rsidR="00DE5EFF" w:rsidRPr="00866CBA" w:rsidRDefault="00DE5EFF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02E92048" w14:textId="4E3A024F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0CB4C09" w14:textId="77777777" w:rsidR="007912F5" w:rsidRPr="000B7BD1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  <w:p w14:paraId="7B027ED6" w14:textId="12C7B3EC" w:rsidR="00966128" w:rsidRPr="000E42B5" w:rsidRDefault="00966128" w:rsidP="00F13892">
            <w:pPr>
              <w:tabs>
                <w:tab w:val="left" w:pos="2025"/>
              </w:tabs>
              <w:ind w:left="720"/>
              <w:jc w:val="both"/>
              <w:rPr>
                <w:rFonts w:ascii="Verdana" w:hAnsi="Verdana" w:cs="Tahoma"/>
              </w:rPr>
            </w:pPr>
          </w:p>
        </w:tc>
        <w:tc>
          <w:tcPr>
            <w:tcW w:w="4156" w:type="dxa"/>
            <w:shd w:val="clear" w:color="auto" w:fill="auto"/>
          </w:tcPr>
          <w:p w14:paraId="77DA10B6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FEB71E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1FDA0BC" w:rsidR="009273FE" w:rsidRPr="006A7F20" w:rsidRDefault="009273F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máximo </w:t>
            </w:r>
            <w:r w:rsidR="00464701" w:rsidRPr="000B7BD1">
              <w:rPr>
                <w:rFonts w:ascii="Arial" w:hAnsi="Arial" w:cs="Arial"/>
                <w:b/>
              </w:rPr>
              <w:t>30 días</w:t>
            </w:r>
            <w:r w:rsidR="00227D21" w:rsidRPr="000B7BD1">
              <w:rPr>
                <w:rFonts w:ascii="Arial" w:hAnsi="Arial" w:cs="Arial"/>
                <w:b/>
              </w:rPr>
              <w:t xml:space="preserve"> naturales</w:t>
            </w:r>
            <w:r w:rsidRPr="006A7F20">
              <w:rPr>
                <w:rFonts w:ascii="Arial" w:hAnsi="Arial" w:cs="Arial"/>
              </w:rPr>
              <w:t xml:space="preserve"> con el fin de </w:t>
            </w:r>
            <w:r w:rsidR="00C71AC0">
              <w:rPr>
                <w:rFonts w:ascii="Arial" w:hAnsi="Arial" w:cs="Arial"/>
              </w:rPr>
              <w:t xml:space="preserve">asegurar </w:t>
            </w:r>
            <w:r w:rsidRPr="006A7F20">
              <w:rPr>
                <w:rFonts w:ascii="Arial" w:hAnsi="Arial" w:cs="Arial"/>
              </w:rPr>
              <w:t>que se cumpla el plazo establecido en el apartado</w:t>
            </w:r>
            <w:r w:rsidR="003E03DD">
              <w:rPr>
                <w:rFonts w:ascii="Arial" w:hAnsi="Arial" w:cs="Arial"/>
              </w:rPr>
              <w:t xml:space="preserve">  </w:t>
            </w:r>
            <w:r w:rsidR="003E03DD" w:rsidRPr="003E03DD">
              <w:rPr>
                <w:rFonts w:ascii="Arial" w:hAnsi="Arial" w:cs="Arial"/>
              </w:rPr>
              <w:t>46.6 del Reglamento (UE) nº 2021/1059</w:t>
            </w:r>
            <w:r w:rsidRPr="006A7F20">
              <w:rPr>
                <w:rFonts w:ascii="Arial" w:hAnsi="Arial" w:cs="Arial"/>
              </w:rPr>
              <w:t>?</w:t>
            </w:r>
          </w:p>
        </w:tc>
        <w:tc>
          <w:tcPr>
            <w:tcW w:w="4156" w:type="dxa"/>
          </w:tcPr>
          <w:p w14:paraId="1D330625" w14:textId="77777777" w:rsidR="00932EEA" w:rsidRPr="00866CB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B71DDF">
              <w:rPr>
                <w:rFonts w:ascii="Arial" w:hAnsi="Arial" w:cs="Arial"/>
                <w:i/>
                <w:highlight w:val="yellow"/>
              </w:rPr>
              <w:t>Responder por auditor</w:t>
            </w:r>
          </w:p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07DCF7C" w14:textId="77777777" w:rsidR="00B323C9" w:rsidRDefault="00B323C9" w:rsidP="00973479">
      <w:pPr>
        <w:pStyle w:val="Ttulo4"/>
      </w:pPr>
    </w:p>
    <w:p w14:paraId="299B745E" w14:textId="0AC05B5E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0B7BD1">
        <w:trPr>
          <w:trHeight w:val="1338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0A0C3F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</w:t>
            </w:r>
            <w:r w:rsidR="003E03D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ontrolador</w:t>
            </w:r>
            <w:r w:rsidR="003E03DD">
              <w:rPr>
                <w:rFonts w:ascii="Verdana" w:hAnsi="Verdana" w:cs="Tahoma"/>
              </w:rPr>
              <w:t xml:space="preserve"> 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4CB12F15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A3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4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449D" w14:textId="77777777" w:rsidR="00FE7B2E" w:rsidRDefault="00FE7B2E">
      <w:r>
        <w:separator/>
      </w:r>
    </w:p>
  </w:endnote>
  <w:endnote w:type="continuationSeparator" w:id="0">
    <w:p w14:paraId="4CB6742E" w14:textId="77777777" w:rsidR="00FE7B2E" w:rsidRDefault="00F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1A2" w14:textId="77777777" w:rsidR="00FE7B2E" w:rsidRDefault="00FE7B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942D" w14:textId="747F7BAD" w:rsidR="00FE7B2E" w:rsidRDefault="00FE7B2E">
    <w:pPr>
      <w:pStyle w:val="Piedepgina"/>
      <w:jc w:val="right"/>
    </w:pPr>
    <w:r>
      <w:t xml:space="preserve">20230517 versión 1   </w:t>
    </w:r>
    <w:sdt>
      <w:sdtPr>
        <w:id w:val="21177078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5BA8">
          <w:rPr>
            <w:noProof/>
          </w:rPr>
          <w:t>2</w:t>
        </w:r>
        <w:r>
          <w:fldChar w:fldCharType="end"/>
        </w:r>
      </w:sdtContent>
    </w:sdt>
  </w:p>
  <w:p w14:paraId="78845BD0" w14:textId="77777777" w:rsidR="00FE7B2E" w:rsidRPr="009A6738" w:rsidRDefault="00FE7B2E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A44" w14:textId="77777777" w:rsidR="00FE7B2E" w:rsidRDefault="00FE7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0BC9" w14:textId="77777777" w:rsidR="00FE7B2E" w:rsidRDefault="00FE7B2E">
      <w:r>
        <w:separator/>
      </w:r>
    </w:p>
  </w:footnote>
  <w:footnote w:type="continuationSeparator" w:id="0">
    <w:p w14:paraId="37EFE0BB" w14:textId="77777777" w:rsidR="00FE7B2E" w:rsidRDefault="00FE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AE1" w14:textId="77777777" w:rsidR="00FE7B2E" w:rsidRDefault="00FE7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501" w14:textId="099A1EC7" w:rsidR="00FE7B2E" w:rsidRDefault="00FE7B2E" w:rsidP="000B7BD1">
    <w:pPr>
      <w:pStyle w:val="Encabezado"/>
      <w:tabs>
        <w:tab w:val="clear" w:pos="4252"/>
      </w:tabs>
      <w:ind w:left="-993" w:right="-284"/>
    </w:pPr>
    <w:r w:rsidRPr="00390FF9">
      <w:rPr>
        <w:noProof/>
      </w:rPr>
      <w:drawing>
        <wp:inline distT="0" distB="0" distL="0" distR="0" wp14:anchorId="791D3E9D" wp14:editId="7E8E5A97">
          <wp:extent cx="3562350" cy="631167"/>
          <wp:effectExtent l="0" t="0" r="0" b="0"/>
          <wp:docPr id="1" name="Imagen 1" descr="\\erc-per-ccdd.central.sepg.minhac.age\FolderRedirection02$\KG000536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rc-per-ccdd.central.sepg.minhac.age\FolderRedirection02$\KG000536\Desktop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658" cy="64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7CACBBA" wp14:editId="701DF4A0">
          <wp:extent cx="2597150" cy="494030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9C4" w14:textId="77777777" w:rsidR="00FE7B2E" w:rsidRDefault="00FE7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407226">
    <w:abstractNumId w:val="32"/>
  </w:num>
  <w:num w:numId="2" w16cid:durableId="1879010124">
    <w:abstractNumId w:val="11"/>
  </w:num>
  <w:num w:numId="3" w16cid:durableId="497963465">
    <w:abstractNumId w:val="59"/>
  </w:num>
  <w:num w:numId="4" w16cid:durableId="1174371641">
    <w:abstractNumId w:val="16"/>
  </w:num>
  <w:num w:numId="5" w16cid:durableId="443380211">
    <w:abstractNumId w:val="3"/>
  </w:num>
  <w:num w:numId="6" w16cid:durableId="880477775">
    <w:abstractNumId w:val="2"/>
  </w:num>
  <w:num w:numId="7" w16cid:durableId="273288844">
    <w:abstractNumId w:val="21"/>
  </w:num>
  <w:num w:numId="8" w16cid:durableId="2082020366">
    <w:abstractNumId w:val="17"/>
  </w:num>
  <w:num w:numId="9" w16cid:durableId="1444112824">
    <w:abstractNumId w:val="9"/>
  </w:num>
  <w:num w:numId="10" w16cid:durableId="1395547966">
    <w:abstractNumId w:val="42"/>
  </w:num>
  <w:num w:numId="11" w16cid:durableId="190923024">
    <w:abstractNumId w:val="35"/>
  </w:num>
  <w:num w:numId="12" w16cid:durableId="747649763">
    <w:abstractNumId w:val="34"/>
  </w:num>
  <w:num w:numId="13" w16cid:durableId="66345593">
    <w:abstractNumId w:val="36"/>
  </w:num>
  <w:num w:numId="14" w16cid:durableId="1116296018">
    <w:abstractNumId w:val="1"/>
  </w:num>
  <w:num w:numId="15" w16cid:durableId="1227688829">
    <w:abstractNumId w:val="29"/>
  </w:num>
  <w:num w:numId="16" w16cid:durableId="2029679103">
    <w:abstractNumId w:val="47"/>
  </w:num>
  <w:num w:numId="17" w16cid:durableId="1799646751">
    <w:abstractNumId w:val="58"/>
  </w:num>
  <w:num w:numId="18" w16cid:durableId="60755864">
    <w:abstractNumId w:val="10"/>
  </w:num>
  <w:num w:numId="19" w16cid:durableId="931620752">
    <w:abstractNumId w:val="44"/>
  </w:num>
  <w:num w:numId="20" w16cid:durableId="33503597">
    <w:abstractNumId w:val="33"/>
  </w:num>
  <w:num w:numId="21" w16cid:durableId="1993366022">
    <w:abstractNumId w:val="40"/>
  </w:num>
  <w:num w:numId="22" w16cid:durableId="1425421567">
    <w:abstractNumId w:val="14"/>
  </w:num>
  <w:num w:numId="23" w16cid:durableId="41146658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1173687128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 w16cid:durableId="876163816">
    <w:abstractNumId w:val="25"/>
  </w:num>
  <w:num w:numId="26" w16cid:durableId="1817799857">
    <w:abstractNumId w:val="26"/>
  </w:num>
  <w:num w:numId="27" w16cid:durableId="1101494215">
    <w:abstractNumId w:val="54"/>
  </w:num>
  <w:num w:numId="28" w16cid:durableId="1693385368">
    <w:abstractNumId w:val="8"/>
  </w:num>
  <w:num w:numId="29" w16cid:durableId="1237476033">
    <w:abstractNumId w:val="38"/>
  </w:num>
  <w:num w:numId="30" w16cid:durableId="91248059">
    <w:abstractNumId w:val="30"/>
  </w:num>
  <w:num w:numId="31" w16cid:durableId="1311908964">
    <w:abstractNumId w:val="15"/>
  </w:num>
  <w:num w:numId="32" w16cid:durableId="356855419">
    <w:abstractNumId w:val="51"/>
  </w:num>
  <w:num w:numId="33" w16cid:durableId="627509874">
    <w:abstractNumId w:val="57"/>
  </w:num>
  <w:num w:numId="34" w16cid:durableId="173419437">
    <w:abstractNumId w:val="50"/>
  </w:num>
  <w:num w:numId="35" w16cid:durableId="361249655">
    <w:abstractNumId w:val="49"/>
  </w:num>
  <w:num w:numId="36" w16cid:durableId="574703124">
    <w:abstractNumId w:val="39"/>
  </w:num>
  <w:num w:numId="37" w16cid:durableId="1913929596">
    <w:abstractNumId w:val="4"/>
  </w:num>
  <w:num w:numId="38" w16cid:durableId="690037818">
    <w:abstractNumId w:val="12"/>
  </w:num>
  <w:num w:numId="39" w16cid:durableId="402266427">
    <w:abstractNumId w:val="55"/>
  </w:num>
  <w:num w:numId="40" w16cid:durableId="122356889">
    <w:abstractNumId w:val="23"/>
  </w:num>
  <w:num w:numId="41" w16cid:durableId="1608778359">
    <w:abstractNumId w:val="41"/>
  </w:num>
  <w:num w:numId="42" w16cid:durableId="711074377">
    <w:abstractNumId w:val="52"/>
  </w:num>
  <w:num w:numId="43" w16cid:durableId="1796410001">
    <w:abstractNumId w:val="31"/>
  </w:num>
  <w:num w:numId="44" w16cid:durableId="68311030">
    <w:abstractNumId w:val="18"/>
  </w:num>
  <w:num w:numId="45" w16cid:durableId="2118212299">
    <w:abstractNumId w:val="28"/>
  </w:num>
  <w:num w:numId="46" w16cid:durableId="1501852171">
    <w:abstractNumId w:val="43"/>
  </w:num>
  <w:num w:numId="47" w16cid:durableId="2068648309">
    <w:abstractNumId w:val="27"/>
  </w:num>
  <w:num w:numId="48" w16cid:durableId="202062353">
    <w:abstractNumId w:val="7"/>
  </w:num>
  <w:num w:numId="49" w16cid:durableId="1313830988">
    <w:abstractNumId w:val="22"/>
  </w:num>
  <w:num w:numId="50" w16cid:durableId="1389184783">
    <w:abstractNumId w:val="5"/>
  </w:num>
  <w:num w:numId="51" w16cid:durableId="2031687637">
    <w:abstractNumId w:val="46"/>
  </w:num>
  <w:num w:numId="52" w16cid:durableId="1279410565">
    <w:abstractNumId w:val="53"/>
  </w:num>
  <w:num w:numId="53" w16cid:durableId="1258755123">
    <w:abstractNumId w:val="48"/>
  </w:num>
  <w:num w:numId="54" w16cid:durableId="970749062">
    <w:abstractNumId w:val="37"/>
  </w:num>
  <w:num w:numId="55" w16cid:durableId="1573545505">
    <w:abstractNumId w:val="6"/>
  </w:num>
  <w:num w:numId="56" w16cid:durableId="1880045597">
    <w:abstractNumId w:val="13"/>
  </w:num>
  <w:num w:numId="57" w16cid:durableId="1187334483">
    <w:abstractNumId w:val="45"/>
  </w:num>
  <w:num w:numId="58" w16cid:durableId="1498576627">
    <w:abstractNumId w:val="0"/>
  </w:num>
  <w:num w:numId="59" w16cid:durableId="131875709">
    <w:abstractNumId w:val="56"/>
  </w:num>
  <w:num w:numId="60" w16cid:durableId="285160434">
    <w:abstractNumId w:val="20"/>
  </w:num>
  <w:num w:numId="61" w16cid:durableId="469592803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4F56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B7BD1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1F7783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1572"/>
    <w:rsid w:val="00241B4E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8DD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5BA8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0BFF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0120"/>
    <w:rsid w:val="00390FF9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12CC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03DD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02D5"/>
    <w:rsid w:val="00432A06"/>
    <w:rsid w:val="00433452"/>
    <w:rsid w:val="0043360B"/>
    <w:rsid w:val="004348A5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43EE"/>
    <w:rsid w:val="00457084"/>
    <w:rsid w:val="00457C21"/>
    <w:rsid w:val="00460725"/>
    <w:rsid w:val="004611D1"/>
    <w:rsid w:val="00462C83"/>
    <w:rsid w:val="00463B89"/>
    <w:rsid w:val="004646F3"/>
    <w:rsid w:val="00464701"/>
    <w:rsid w:val="004675EA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2C65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626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6D6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283E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3C0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0862"/>
    <w:rsid w:val="006E13D9"/>
    <w:rsid w:val="006E145C"/>
    <w:rsid w:val="006E2CE6"/>
    <w:rsid w:val="006E3C08"/>
    <w:rsid w:val="006E4821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2D27"/>
    <w:rsid w:val="00773948"/>
    <w:rsid w:val="00777024"/>
    <w:rsid w:val="007775E5"/>
    <w:rsid w:val="00777F02"/>
    <w:rsid w:val="00782733"/>
    <w:rsid w:val="00790DD4"/>
    <w:rsid w:val="007912F5"/>
    <w:rsid w:val="00791507"/>
    <w:rsid w:val="00791989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0E6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0F0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242D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0E2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2EEA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66128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06EF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34E9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5BE6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9AB"/>
    <w:rsid w:val="00A11BCD"/>
    <w:rsid w:val="00A123BB"/>
    <w:rsid w:val="00A12B1F"/>
    <w:rsid w:val="00A13D40"/>
    <w:rsid w:val="00A15633"/>
    <w:rsid w:val="00A16237"/>
    <w:rsid w:val="00A168C8"/>
    <w:rsid w:val="00A1699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36414"/>
    <w:rsid w:val="00A4506B"/>
    <w:rsid w:val="00A46595"/>
    <w:rsid w:val="00A4686F"/>
    <w:rsid w:val="00A46C69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4B5D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2DAB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3C9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ABC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39FF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1AC0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560E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8B3"/>
    <w:rsid w:val="00DE0BC5"/>
    <w:rsid w:val="00DE39CC"/>
    <w:rsid w:val="00DE3A3F"/>
    <w:rsid w:val="00DE5CA8"/>
    <w:rsid w:val="00DE5EFF"/>
    <w:rsid w:val="00DF055E"/>
    <w:rsid w:val="00DF0E89"/>
    <w:rsid w:val="00DF2B42"/>
    <w:rsid w:val="00DF2B75"/>
    <w:rsid w:val="00DF5185"/>
    <w:rsid w:val="00DF5B59"/>
    <w:rsid w:val="00DF739A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09D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EF71B0"/>
    <w:rsid w:val="00F01ACF"/>
    <w:rsid w:val="00F039E9"/>
    <w:rsid w:val="00F03ED5"/>
    <w:rsid w:val="00F0437E"/>
    <w:rsid w:val="00F0507A"/>
    <w:rsid w:val="00F06C18"/>
    <w:rsid w:val="00F11C30"/>
    <w:rsid w:val="00F13892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3F4E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E7B2E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11F3-18CA-4B56-9B85-C95B032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9</TotalTime>
  <Pages>4</Pages>
  <Words>804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ctaqua Puerto</dc:creator>
  <cp:keywords/>
  <cp:lastModifiedBy>Fundación centro tecnológico Acuicultura de Andalucía CTAQUA</cp:lastModifiedBy>
  <cp:revision>5</cp:revision>
  <cp:lastPrinted>2017-11-16T12:22:00Z</cp:lastPrinted>
  <dcterms:created xsi:type="dcterms:W3CDTF">2024-03-12T15:23:00Z</dcterms:created>
  <dcterms:modified xsi:type="dcterms:W3CDTF">2024-03-19T16:14:00Z</dcterms:modified>
</cp:coreProperties>
</file>